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0F" w:rsidRPr="00F47F91" w:rsidRDefault="006A360F" w:rsidP="00F47F9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F47F91">
        <w:rPr>
          <w:rFonts w:ascii="Times New Roman" w:hAnsi="Times New Roman" w:cs="Times New Roman"/>
          <w:b w:val="0"/>
          <w:bCs w:val="0"/>
          <w:color w:val="000000"/>
        </w:rPr>
        <w:t xml:space="preserve">6B07150 </w:t>
      </w:r>
      <w:proofErr w:type="spellStart"/>
      <w:r w:rsidRPr="00F47F91">
        <w:rPr>
          <w:rFonts w:ascii="Times New Roman" w:hAnsi="Times New Roman" w:cs="Times New Roman"/>
          <w:b w:val="0"/>
          <w:bCs w:val="0"/>
          <w:color w:val="000000"/>
        </w:rPr>
        <w:t>Электрэнергетика</w:t>
      </w:r>
      <w:proofErr w:type="spellEnd"/>
    </w:p>
    <w:p w:rsidR="006A360F" w:rsidRPr="00F47F91" w:rsidRDefault="006A360F" w:rsidP="00F47F91">
      <w:pPr>
        <w:pStyle w:val="a7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F47F91">
        <w:rPr>
          <w:rStyle w:val="a8"/>
          <w:color w:val="000000"/>
          <w:sz w:val="28"/>
          <w:szCs w:val="28"/>
        </w:rPr>
        <w:t>БББ ПАСПОРТЫ</w:t>
      </w:r>
    </w:p>
    <w:tbl>
      <w:tblPr>
        <w:tblW w:w="9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38"/>
        <w:gridCol w:w="5954"/>
      </w:tblGrid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БББ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6В07150  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Электрэнергетика</w:t>
            </w:r>
            <w:proofErr w:type="spellEnd"/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47F91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ім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беру саласының коды мен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жіктелуі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6В07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Инженерлік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, өңдеу және құрылыс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47F91">
              <w:rPr>
                <w:color w:val="000000"/>
                <w:sz w:val="28"/>
                <w:szCs w:val="28"/>
              </w:rPr>
              <w:t>Даярлау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бағыттарының коды 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іктелуі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6В071 Инженерия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инженерлі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іс</w:t>
            </w:r>
            <w:proofErr w:type="spellEnd"/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47F91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ім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беру бағдарламаларының (БББ)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В062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Электртехникасы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энергетика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Оқыту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Қазақ,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орыс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, ағылшын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>БББ көлемі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>240 кредит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47F91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ім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беру бағдарламасының айрықша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 -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47F91">
              <w:rPr>
                <w:color w:val="000000"/>
                <w:sz w:val="28"/>
                <w:szCs w:val="28"/>
              </w:rPr>
              <w:t>Серіктес-ЖОО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(ҚББ)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 -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>БББ мақсаты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Техника және технология бакалавр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біліктілігіне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сәйкес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негізгі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қызмет түрлерін орындауға, өзі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өзі дамытуға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энергетика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саласында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жоғары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білікті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еңбек нарығында бәсекеге қабілетті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мамандарды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дайындау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47F91">
              <w:rPr>
                <w:color w:val="000000"/>
                <w:sz w:val="28"/>
                <w:szCs w:val="28"/>
              </w:rPr>
              <w:t>Берілетін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дәреженің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аталуы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>«Техника және технология бакалавры »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Кәсіби қызмет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саласы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энергиясын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түрлендіру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процесті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басқару үшін жағдай 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жасау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ға бағытталған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адам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қызметінің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технологиялары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құралдары, тәсілдері мен әдістерінің жиынтығын қамтитын ғылым мен техника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саласы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360F" w:rsidRPr="00F47F91" w:rsidTr="00F47F91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color w:val="000000"/>
                <w:sz w:val="28"/>
                <w:szCs w:val="28"/>
              </w:rPr>
              <w:lastRenderedPageBreak/>
              <w:t>Оқыту нәтижелері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ОН1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жазу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академиялық адалдық мәдениеті қағидаттарын қолдана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кәсіби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ортада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қоғамда қазақ,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орыс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ағылшын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тілдерінде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еркін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қары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м-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қатынас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жасау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</w:t>
            </w:r>
            <w:proofErr w:type="gramStart"/>
            <w:r w:rsidRPr="00F47F91">
              <w:rPr>
                <w:rStyle w:val="a8"/>
                <w:color w:val="000000"/>
                <w:sz w:val="28"/>
                <w:szCs w:val="28"/>
              </w:rPr>
              <w:t>2</w:t>
            </w:r>
            <w:proofErr w:type="gramEnd"/>
            <w:r w:rsidRPr="00F47F91">
              <w:rPr>
                <w:rStyle w:val="a8"/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Мәліметтерді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математикалық өңдеу, ғылыми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зерттеу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әдістеріне сүйене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кәсіби қызметте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жаратылыстану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математикалық, әлеуметтік, әлеуметтік-экономикалық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инженерлік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білімдерін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ұсыну.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ОН3</w:t>
            </w:r>
            <w:r w:rsidRPr="00F47F9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Электрэнергетикалық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жү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йелерд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ің ақпаратын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талдау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мақсат қою және оған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жету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жолдарын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таңдау үшін ақпараттық және цифрлық сауаттылықты қолдану.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</w:t>
            </w:r>
            <w:proofErr w:type="gramStart"/>
            <w:r w:rsidRPr="00F47F91">
              <w:rPr>
                <w:rStyle w:val="a8"/>
                <w:color w:val="000000"/>
                <w:sz w:val="28"/>
                <w:szCs w:val="28"/>
              </w:rPr>
              <w:t>4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Зерттелетін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жобаланатын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объектінің технологиялық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деректерін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конструктивтік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қасиеттері мен инновациялық бағдарламаларды қолдана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жетектің  цифрлық басқару жүйесін,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тораптармен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жүйелердің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моделін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әзірлеу.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ОН5</w:t>
            </w:r>
            <w:r w:rsidRPr="00F47F91">
              <w:rPr>
                <w:color w:val="000000"/>
                <w:sz w:val="28"/>
                <w:szCs w:val="28"/>
              </w:rPr>
              <w:t xml:space="preserve"> Электр энергетикалық жүйелердегі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жабдықтарын мен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релелі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 қорғанысты таңдау үшін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электромагниттік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электрфизикалық және өтпелі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процестерді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есептеудің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заманауи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әдістерін қолдану.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</w:t>
            </w:r>
            <w:proofErr w:type="gramStart"/>
            <w:r w:rsidRPr="00F47F91">
              <w:rPr>
                <w:rStyle w:val="a8"/>
                <w:color w:val="000000"/>
                <w:sz w:val="28"/>
                <w:szCs w:val="28"/>
              </w:rPr>
              <w:t>6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Экологиялық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сәулеттік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талаптарды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ескере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жабдықтары мен түрлендіргіш құрылғыларды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монтаждау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реттеу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пайдалану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сынау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жаңғыртудың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жоспарларын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бағдарламалары мен әдістерін,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жабдықтарын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диагностикалау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жөндеу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шараларын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әзірлеу.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</w:t>
            </w:r>
            <w:proofErr w:type="gramStart"/>
            <w:r w:rsidRPr="00F47F91">
              <w:rPr>
                <w:rStyle w:val="a8"/>
                <w:color w:val="000000"/>
                <w:sz w:val="28"/>
                <w:szCs w:val="28"/>
              </w:rPr>
              <w:t>7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Жергілікті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жүйелерінің функционалдығын,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интеллектуалды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технологияларды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энергетикалық жүйелерді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заманауи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жобалау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принциптерін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талдау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арқылы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энергетикалық жүйелерінің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сенімділігін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энергиясының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сапасын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қамтамасыз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ету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lastRenderedPageBreak/>
              <w:t>ОН8</w:t>
            </w:r>
            <w:r w:rsidRPr="00F47F9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Жабдықтарды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пайдалану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тиімділігі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мен еңбекті қорғау, техникалық және өрт қауіпсіздігі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ережелері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нормаларын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сақтай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энергиясы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мен қуат нарықтарының, жүйелік қызмет көрсету нарығының жұмыс істеуінің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негізгі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принциптері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тетіктерін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қолдана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, жобалардың техникалы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қ-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экономикалық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негіздемесін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әзірлеу.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</w:t>
            </w:r>
            <w:proofErr w:type="gramStart"/>
            <w:r w:rsidRPr="00F47F91">
              <w:rPr>
                <w:rStyle w:val="a8"/>
                <w:color w:val="000000"/>
                <w:sz w:val="28"/>
                <w:szCs w:val="28"/>
              </w:rPr>
              <w:t>9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Белгісіздік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жағдайында жұмыс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істеу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дағдысын және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зерттеу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кәсіпкерлік дағдыларын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пайдалану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>.</w:t>
            </w:r>
          </w:p>
          <w:p w:rsidR="006A360F" w:rsidRPr="00F47F91" w:rsidRDefault="006A360F" w:rsidP="00F47F91">
            <w:pPr>
              <w:pStyle w:val="a7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F47F91">
              <w:rPr>
                <w:rStyle w:val="a8"/>
                <w:color w:val="000000"/>
                <w:sz w:val="28"/>
                <w:szCs w:val="28"/>
              </w:rPr>
              <w:t>ОН10</w:t>
            </w:r>
            <w:r w:rsidRPr="00F47F9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бетінше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оқу, өзі</w:t>
            </w:r>
            <w:proofErr w:type="gramStart"/>
            <w:r w:rsidRPr="00F47F91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F47F91">
              <w:rPr>
                <w:color w:val="000000"/>
                <w:sz w:val="28"/>
                <w:szCs w:val="28"/>
              </w:rPr>
              <w:t xml:space="preserve">өзі тәрбиелеу,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салауатты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өмір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салты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командада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жұмыс </w:t>
            </w:r>
            <w:proofErr w:type="spellStart"/>
            <w:r w:rsidRPr="00F47F91">
              <w:rPr>
                <w:color w:val="000000"/>
                <w:sz w:val="28"/>
                <w:szCs w:val="28"/>
              </w:rPr>
              <w:t>істеу</w:t>
            </w:r>
            <w:proofErr w:type="spellEnd"/>
            <w:r w:rsidRPr="00F47F91">
              <w:rPr>
                <w:color w:val="000000"/>
                <w:sz w:val="28"/>
                <w:szCs w:val="28"/>
              </w:rPr>
              <w:t xml:space="preserve"> дағдыларын көрсету.</w:t>
            </w:r>
          </w:p>
        </w:tc>
      </w:tr>
    </w:tbl>
    <w:p w:rsidR="005A4852" w:rsidRPr="00F47F91" w:rsidRDefault="005A4852" w:rsidP="00F47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4852" w:rsidRPr="00F47F91" w:rsidSect="00BE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3A3C"/>
    <w:rsid w:val="005A4852"/>
    <w:rsid w:val="006A360F"/>
    <w:rsid w:val="00933A3C"/>
    <w:rsid w:val="00F4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933A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3A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33A3C"/>
    <w:rPr>
      <w:color w:val="0000FF"/>
      <w:u w:val="single"/>
    </w:rPr>
  </w:style>
  <w:style w:type="table" w:styleId="a4">
    <w:name w:val="Table Grid"/>
    <w:basedOn w:val="a1"/>
    <w:uiPriority w:val="59"/>
    <w:rsid w:val="00933A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,Раздел"/>
    <w:basedOn w:val="a"/>
    <w:link w:val="a6"/>
    <w:uiPriority w:val="34"/>
    <w:qFormat/>
    <w:rsid w:val="00933A3C"/>
    <w:pPr>
      <w:ind w:left="720"/>
      <w:contextualSpacing/>
    </w:pPr>
    <w:rPr>
      <w:rFonts w:ascii="Calibri" w:eastAsia="Times New Roman" w:hAnsi="Calibri" w:cs="Times New Roman"/>
      <w:lang w:val="de-DE" w:eastAsia="de-DE"/>
    </w:r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5"/>
    <w:uiPriority w:val="34"/>
    <w:qFormat/>
    <w:rsid w:val="00933A3C"/>
    <w:rPr>
      <w:rFonts w:ascii="Calibri" w:eastAsia="Times New Roman" w:hAnsi="Calibri" w:cs="Times New Roman"/>
      <w:lang w:val="de-DE" w:eastAsia="de-DE"/>
    </w:rPr>
  </w:style>
  <w:style w:type="character" w:customStyle="1" w:styleId="10">
    <w:name w:val="Заголовок 1 Знак"/>
    <w:basedOn w:val="a0"/>
    <w:link w:val="1"/>
    <w:uiPriority w:val="9"/>
    <w:rsid w:val="006A3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6A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A3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703">
          <w:marLeft w:val="842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2024-04-15T09:40:00Z</dcterms:created>
  <dcterms:modified xsi:type="dcterms:W3CDTF">2024-04-15T10:09:00Z</dcterms:modified>
</cp:coreProperties>
</file>